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bookmarkStart w:id="0" w:name="_GoBack"/>
      <w:bookmarkEnd w:id="0"/>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6F7BD8AF" w14:textId="77777777"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0897"/>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12</Pages>
  <Words>3406</Words>
  <Characters>18088</Characters>
  <Application>Microsoft Office Word</Application>
  <DocSecurity>0</DocSecurity>
  <Lines>623</Lines>
  <Paragraphs>302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21192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DUBOIS Laurence (INTPA)</cp:lastModifiedBy>
  <cp:revision>45</cp:revision>
  <cp:lastPrinted>2013-05-27T10:48:00Z</cp:lastPrinted>
  <dcterms:created xsi:type="dcterms:W3CDTF">2021-02-15T22:09:00Z</dcterms:created>
  <dcterms:modified xsi:type="dcterms:W3CDTF">2022-08-02T08:03:00Z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